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B087" w14:textId="77777777" w:rsidR="00B8703B" w:rsidRPr="00915D1F" w:rsidRDefault="00B8703B" w:rsidP="00915D1F">
      <w:pPr>
        <w:spacing w:after="240" w:line="480" w:lineRule="auto"/>
        <w:jc w:val="center"/>
        <w:rPr>
          <w:rFonts w:asciiTheme="majorBidi" w:hAnsiTheme="majorBidi" w:cstheme="majorBidi"/>
          <w:b/>
          <w:bCs/>
          <w:i/>
          <w:iCs/>
          <w:color w:val="4472C4" w:themeColor="accent1"/>
          <w:sz w:val="24"/>
          <w:szCs w:val="24"/>
          <w:u w:val="single" w:color="336699"/>
        </w:rPr>
      </w:pPr>
      <w:r w:rsidRPr="00915D1F">
        <w:rPr>
          <w:rFonts w:asciiTheme="majorBidi" w:hAnsiTheme="majorBidi" w:cstheme="majorBidi"/>
          <w:b/>
          <w:bCs/>
          <w:i/>
          <w:iCs/>
          <w:color w:val="4472C4" w:themeColor="accent1"/>
          <w:sz w:val="24"/>
          <w:szCs w:val="24"/>
          <w:u w:val="single" w:color="336699"/>
        </w:rPr>
        <w:t>NESMUN’26</w:t>
      </w:r>
    </w:p>
    <w:p w14:paraId="36E30C73" w14:textId="2BED4D1C" w:rsidR="00B8703B" w:rsidRPr="00915D1F" w:rsidRDefault="00B8703B" w:rsidP="00915D1F">
      <w:pPr>
        <w:spacing w:before="120" w:after="240" w:line="480" w:lineRule="auto"/>
        <w:jc w:val="center"/>
        <w:rPr>
          <w:rFonts w:asciiTheme="majorBidi" w:hAnsiTheme="majorBidi" w:cstheme="majorBidi"/>
          <w:i/>
          <w:iCs/>
          <w:color w:val="4472C4" w:themeColor="accent1"/>
          <w:sz w:val="24"/>
          <w:szCs w:val="24"/>
        </w:rPr>
      </w:pPr>
      <w:r w:rsidRPr="00915D1F">
        <w:rPr>
          <w:rFonts w:asciiTheme="majorBidi" w:hAnsiTheme="majorBidi" w:cstheme="majorBidi"/>
          <w:b/>
          <w:bCs/>
          <w:i/>
          <w:iCs/>
          <w:color w:val="4472C4" w:themeColor="accent1"/>
          <w:sz w:val="24"/>
          <w:szCs w:val="24"/>
        </w:rPr>
        <w:t>Committee Name- Security Council</w:t>
      </w:r>
    </w:p>
    <w:p w14:paraId="3F6176B6" w14:textId="77777777" w:rsidR="00B8703B" w:rsidRPr="00915D1F" w:rsidRDefault="00B8703B" w:rsidP="00915D1F">
      <w:pPr>
        <w:spacing w:after="240" w:line="480" w:lineRule="auto"/>
        <w:jc w:val="center"/>
        <w:rPr>
          <w:rFonts w:asciiTheme="majorBidi" w:hAnsiTheme="majorBidi" w:cstheme="majorBidi"/>
          <w:i/>
          <w:iCs/>
          <w:color w:val="4472C4" w:themeColor="accent1"/>
          <w:sz w:val="24"/>
          <w:szCs w:val="24"/>
        </w:rPr>
      </w:pPr>
    </w:p>
    <w:p w14:paraId="19140347" w14:textId="77777777" w:rsidR="00B8703B" w:rsidRPr="00915D1F" w:rsidRDefault="00B8703B" w:rsidP="00915D1F">
      <w:pPr>
        <w:spacing w:after="240" w:line="480" w:lineRule="auto"/>
        <w:jc w:val="center"/>
        <w:rPr>
          <w:rFonts w:asciiTheme="majorBidi" w:hAnsiTheme="majorBidi" w:cstheme="majorBidi"/>
          <w:b/>
          <w:bCs/>
          <w:color w:val="4472C4" w:themeColor="accent1"/>
          <w:sz w:val="24"/>
          <w:szCs w:val="24"/>
        </w:rPr>
      </w:pPr>
      <w:r w:rsidRPr="00915D1F">
        <w:rPr>
          <w:rFonts w:asciiTheme="majorBidi" w:hAnsiTheme="majorBidi" w:cstheme="majorBidi"/>
          <w:b/>
          <w:bCs/>
          <w:color w:val="4472C4" w:themeColor="accent1"/>
          <w:sz w:val="24"/>
          <w:szCs w:val="24"/>
        </w:rPr>
        <w:t>Topic Brief 1</w:t>
      </w:r>
    </w:p>
    <w:p w14:paraId="6FE68945" w14:textId="71038047" w:rsidR="009A069C" w:rsidRPr="00915D1F" w:rsidRDefault="00B8703B" w:rsidP="00915D1F">
      <w:pPr>
        <w:spacing w:after="240" w:line="480" w:lineRule="auto"/>
        <w:jc w:val="center"/>
        <w:rPr>
          <w:rFonts w:asciiTheme="majorBidi" w:hAnsiTheme="majorBidi" w:cstheme="majorBidi"/>
          <w:color w:val="4472C4" w:themeColor="accent1"/>
          <w:sz w:val="24"/>
          <w:szCs w:val="24"/>
        </w:rPr>
      </w:pPr>
      <w:r w:rsidRPr="00915D1F">
        <w:rPr>
          <w:rFonts w:asciiTheme="majorBidi" w:hAnsiTheme="majorBidi" w:cstheme="majorBidi"/>
          <w:b/>
          <w:bCs/>
          <w:color w:val="4472C4" w:themeColor="accent1"/>
          <w:sz w:val="24"/>
          <w:szCs w:val="24"/>
        </w:rPr>
        <w:t xml:space="preserve">Topic: </w:t>
      </w:r>
    </w:p>
    <w:p w14:paraId="54B5F700" w14:textId="1EACAF3F" w:rsidR="00B8703B" w:rsidRPr="00915D1F" w:rsidRDefault="00B8703B" w:rsidP="00915D1F">
      <w:pPr>
        <w:spacing w:after="240" w:line="480" w:lineRule="auto"/>
        <w:jc w:val="center"/>
        <w:rPr>
          <w:rFonts w:asciiTheme="majorBidi" w:hAnsiTheme="majorBidi" w:cstheme="majorBidi"/>
          <w:i/>
          <w:iCs/>
          <w:color w:val="4472C4" w:themeColor="accent1"/>
          <w:sz w:val="24"/>
          <w:szCs w:val="24"/>
        </w:rPr>
      </w:pPr>
      <w:r w:rsidRPr="00915D1F">
        <w:rPr>
          <w:rFonts w:asciiTheme="majorBidi" w:hAnsiTheme="majorBidi" w:cstheme="majorBidi"/>
          <w:i/>
          <w:iCs/>
          <w:color w:val="4472C4" w:themeColor="accent1"/>
          <w:sz w:val="24"/>
          <w:szCs w:val="24"/>
        </w:rPr>
        <w:t xml:space="preserve">President: </w:t>
      </w:r>
      <w:r w:rsidR="00915D1F">
        <w:rPr>
          <w:rFonts w:asciiTheme="majorBidi" w:hAnsiTheme="majorBidi" w:cstheme="majorBidi"/>
          <w:i/>
          <w:iCs/>
          <w:color w:val="4472C4" w:themeColor="accent1"/>
          <w:sz w:val="24"/>
          <w:szCs w:val="24"/>
        </w:rPr>
        <w:t>Faisal Al-Ahmad</w:t>
      </w:r>
    </w:p>
    <w:p w14:paraId="63D19E34" w14:textId="5D4EEC08" w:rsidR="00B8703B" w:rsidRPr="00915D1F" w:rsidRDefault="00B8703B" w:rsidP="00915D1F">
      <w:pPr>
        <w:spacing w:after="240" w:line="480" w:lineRule="auto"/>
        <w:jc w:val="center"/>
        <w:rPr>
          <w:rFonts w:asciiTheme="majorBidi" w:hAnsiTheme="majorBidi" w:cstheme="majorBidi"/>
          <w:i/>
          <w:iCs/>
          <w:color w:val="4472C4" w:themeColor="accent1"/>
          <w:sz w:val="24"/>
          <w:szCs w:val="24"/>
        </w:rPr>
      </w:pPr>
      <w:r w:rsidRPr="00915D1F">
        <w:rPr>
          <w:rFonts w:asciiTheme="majorBidi" w:hAnsiTheme="majorBidi" w:cstheme="majorBidi"/>
          <w:i/>
          <w:iCs/>
          <w:color w:val="4472C4" w:themeColor="accent1"/>
          <w:sz w:val="24"/>
          <w:szCs w:val="24"/>
        </w:rPr>
        <w:t>Deputy President:</w:t>
      </w:r>
      <w:r w:rsidR="00915D1F">
        <w:rPr>
          <w:rFonts w:asciiTheme="majorBidi" w:hAnsiTheme="majorBidi" w:cstheme="majorBidi"/>
          <w:i/>
          <w:iCs/>
          <w:color w:val="4472C4" w:themeColor="accent1"/>
          <w:sz w:val="24"/>
          <w:szCs w:val="24"/>
        </w:rPr>
        <w:t xml:space="preserve"> Christina Imseeh</w:t>
      </w:r>
      <w:r w:rsidRPr="00915D1F">
        <w:rPr>
          <w:rFonts w:asciiTheme="majorBidi" w:hAnsiTheme="majorBidi" w:cstheme="majorBidi"/>
          <w:i/>
          <w:iCs/>
          <w:color w:val="4472C4" w:themeColor="accent1"/>
          <w:sz w:val="24"/>
          <w:szCs w:val="24"/>
        </w:rPr>
        <w:t xml:space="preserve"> </w:t>
      </w:r>
    </w:p>
    <w:p w14:paraId="7BAF1D9C" w14:textId="7E9A30E8" w:rsidR="00B8703B" w:rsidRPr="00915D1F" w:rsidRDefault="00B8703B" w:rsidP="00915D1F">
      <w:pPr>
        <w:spacing w:after="240" w:line="480" w:lineRule="auto"/>
        <w:jc w:val="center"/>
        <w:rPr>
          <w:rFonts w:asciiTheme="majorBidi" w:hAnsiTheme="majorBidi" w:cstheme="majorBidi"/>
          <w:i/>
          <w:iCs/>
          <w:color w:val="4472C4" w:themeColor="accent1"/>
          <w:sz w:val="24"/>
          <w:szCs w:val="24"/>
        </w:rPr>
      </w:pPr>
      <w:r w:rsidRPr="00915D1F">
        <w:rPr>
          <w:rFonts w:asciiTheme="majorBidi" w:hAnsiTheme="majorBidi" w:cstheme="majorBidi"/>
          <w:i/>
          <w:iCs/>
          <w:color w:val="4472C4" w:themeColor="accent1"/>
          <w:sz w:val="24"/>
          <w:szCs w:val="24"/>
        </w:rPr>
        <w:t xml:space="preserve">Chair: </w:t>
      </w:r>
      <w:r w:rsidR="00915D1F">
        <w:rPr>
          <w:rFonts w:asciiTheme="majorBidi" w:hAnsiTheme="majorBidi" w:cstheme="majorBidi"/>
          <w:i/>
          <w:iCs/>
          <w:color w:val="4472C4" w:themeColor="accent1"/>
          <w:sz w:val="24"/>
          <w:szCs w:val="24"/>
        </w:rPr>
        <w:t xml:space="preserve">Saif </w:t>
      </w:r>
      <w:proofErr w:type="spellStart"/>
      <w:r w:rsidR="00915D1F">
        <w:rPr>
          <w:rFonts w:asciiTheme="majorBidi" w:hAnsiTheme="majorBidi" w:cstheme="majorBidi"/>
          <w:i/>
          <w:iCs/>
          <w:color w:val="4472C4" w:themeColor="accent1"/>
          <w:sz w:val="24"/>
          <w:szCs w:val="24"/>
        </w:rPr>
        <w:t>Naimat</w:t>
      </w:r>
      <w:proofErr w:type="spellEnd"/>
    </w:p>
    <w:p w14:paraId="3D6487AE"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4578DA2B"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39CFE143"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1537EBE3"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2F557D43"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5EAB1D2A"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145CC5B9"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6EE3ABB5"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27C9957A"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4E4DFDBB"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5E8949ED"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4D09F5DA" w14:textId="77777777" w:rsidR="00B8703B" w:rsidRPr="00915D1F" w:rsidRDefault="00B8703B" w:rsidP="00915D1F">
      <w:pPr>
        <w:spacing w:line="480" w:lineRule="auto"/>
        <w:rPr>
          <w:rFonts w:asciiTheme="majorBidi" w:hAnsiTheme="majorBidi" w:cstheme="majorBidi"/>
          <w:color w:val="4472C4" w:themeColor="accent1"/>
          <w:sz w:val="24"/>
          <w:szCs w:val="24"/>
        </w:rPr>
      </w:pPr>
    </w:p>
    <w:p w14:paraId="7FF32227" w14:textId="77777777" w:rsidR="00B8703B" w:rsidRPr="00915D1F" w:rsidRDefault="00B8703B" w:rsidP="00915D1F">
      <w:pPr>
        <w:spacing w:after="480" w:line="480" w:lineRule="auto"/>
        <w:jc w:val="center"/>
        <w:rPr>
          <w:rFonts w:asciiTheme="majorBidi" w:hAnsiTheme="majorBidi" w:cstheme="majorBidi"/>
          <w:b/>
          <w:bCs/>
          <w:i/>
          <w:iCs/>
          <w:color w:val="4472C4" w:themeColor="accent1"/>
          <w:sz w:val="24"/>
          <w:szCs w:val="24"/>
          <w:u w:val="single"/>
        </w:rPr>
      </w:pPr>
      <w:r w:rsidRPr="00915D1F">
        <w:rPr>
          <w:rFonts w:asciiTheme="majorBidi" w:hAnsiTheme="majorBidi" w:cstheme="majorBidi"/>
          <w:b/>
          <w:bCs/>
          <w:i/>
          <w:iCs/>
          <w:color w:val="4472C4" w:themeColor="accent1"/>
          <w:sz w:val="24"/>
          <w:szCs w:val="24"/>
          <w:u w:val="single"/>
        </w:rPr>
        <w:lastRenderedPageBreak/>
        <w:t>Table of Contents</w:t>
      </w:r>
    </w:p>
    <w:p w14:paraId="5D4A217A" w14:textId="503EED81" w:rsidR="00B8703B" w:rsidRPr="00915D1F" w:rsidRDefault="00B8703B" w:rsidP="00915D1F">
      <w:pPr>
        <w:spacing w:after="600" w:line="480" w:lineRule="auto"/>
        <w:rPr>
          <w:rFonts w:asciiTheme="majorBidi" w:hAnsiTheme="majorBidi" w:cstheme="majorBidi"/>
          <w:color w:val="4472C4" w:themeColor="accent1"/>
          <w:sz w:val="24"/>
          <w:szCs w:val="24"/>
        </w:rPr>
      </w:pPr>
      <w:r w:rsidRPr="00915D1F">
        <w:rPr>
          <w:rFonts w:asciiTheme="majorBidi" w:hAnsiTheme="majorBidi" w:cstheme="majorBidi"/>
          <w:color w:val="4472C4" w:themeColor="accent1"/>
          <w:sz w:val="24"/>
          <w:szCs w:val="24"/>
          <w:u w:val="single"/>
        </w:rPr>
        <w:t>President Letter</w:t>
      </w:r>
      <w:r w:rsidRPr="00915D1F">
        <w:rPr>
          <w:rFonts w:asciiTheme="majorBidi" w:hAnsiTheme="majorBidi" w:cstheme="majorBidi"/>
          <w:color w:val="808080" w:themeColor="background1" w:themeShade="80"/>
          <w:sz w:val="24"/>
          <w:szCs w:val="24"/>
        </w:rPr>
        <w:t>……………………………………………………</w:t>
      </w:r>
      <w:proofErr w:type="gramStart"/>
      <w:r w:rsidRPr="00915D1F">
        <w:rPr>
          <w:rFonts w:asciiTheme="majorBidi" w:hAnsiTheme="majorBidi" w:cstheme="majorBidi"/>
          <w:color w:val="808080" w:themeColor="background1" w:themeShade="80"/>
          <w:sz w:val="24"/>
          <w:szCs w:val="24"/>
        </w:rPr>
        <w:t>…..</w:t>
      </w:r>
      <w:proofErr w:type="gramEnd"/>
      <w:r w:rsidRPr="00915D1F">
        <w:rPr>
          <w:rFonts w:asciiTheme="majorBidi" w:hAnsiTheme="majorBidi" w:cstheme="majorBidi"/>
          <w:color w:val="808080" w:themeColor="background1" w:themeShade="80"/>
          <w:sz w:val="24"/>
          <w:szCs w:val="24"/>
        </w:rPr>
        <w:t xml:space="preserve"> </w:t>
      </w:r>
    </w:p>
    <w:p w14:paraId="094F3090" w14:textId="0D4F5678" w:rsidR="00B8703B" w:rsidRPr="00915D1F" w:rsidRDefault="00B8703B" w:rsidP="00915D1F">
      <w:pPr>
        <w:spacing w:after="600" w:line="480" w:lineRule="auto"/>
        <w:rPr>
          <w:rFonts w:asciiTheme="majorBidi" w:hAnsiTheme="majorBidi" w:cstheme="majorBidi"/>
          <w:color w:val="4472C4" w:themeColor="accent1"/>
          <w:sz w:val="24"/>
          <w:szCs w:val="24"/>
        </w:rPr>
      </w:pPr>
      <w:r w:rsidRPr="00915D1F">
        <w:rPr>
          <w:rFonts w:asciiTheme="majorBidi" w:hAnsiTheme="majorBidi" w:cstheme="majorBidi"/>
          <w:color w:val="4472C4" w:themeColor="accent1"/>
          <w:sz w:val="24"/>
          <w:szCs w:val="24"/>
          <w:u w:val="single"/>
        </w:rPr>
        <w:t>Overview</w:t>
      </w:r>
      <w:r w:rsidRPr="00915D1F">
        <w:rPr>
          <w:rFonts w:asciiTheme="majorBidi" w:hAnsiTheme="majorBidi" w:cstheme="majorBidi"/>
          <w:color w:val="808080" w:themeColor="background1" w:themeShade="80"/>
          <w:sz w:val="24"/>
          <w:szCs w:val="24"/>
        </w:rPr>
        <w:t>……………………………………………………</w:t>
      </w:r>
      <w:proofErr w:type="gramStart"/>
      <w:r w:rsidRPr="00915D1F">
        <w:rPr>
          <w:rFonts w:asciiTheme="majorBidi" w:hAnsiTheme="majorBidi" w:cstheme="majorBidi"/>
          <w:color w:val="808080" w:themeColor="background1" w:themeShade="80"/>
          <w:sz w:val="24"/>
          <w:szCs w:val="24"/>
        </w:rPr>
        <w:t>…..</w:t>
      </w:r>
      <w:proofErr w:type="gramEnd"/>
    </w:p>
    <w:p w14:paraId="0FB21770" w14:textId="77777777" w:rsidR="00B8703B" w:rsidRPr="00915D1F" w:rsidRDefault="00B8703B" w:rsidP="00915D1F">
      <w:pPr>
        <w:spacing w:after="600" w:line="480" w:lineRule="auto"/>
        <w:rPr>
          <w:rFonts w:asciiTheme="majorBidi" w:hAnsiTheme="majorBidi" w:cstheme="majorBidi"/>
          <w:color w:val="4472C4" w:themeColor="accent1"/>
          <w:sz w:val="24"/>
          <w:szCs w:val="24"/>
        </w:rPr>
      </w:pPr>
      <w:r w:rsidRPr="00915D1F">
        <w:rPr>
          <w:rFonts w:asciiTheme="majorBidi" w:hAnsiTheme="majorBidi" w:cstheme="majorBidi"/>
          <w:color w:val="4472C4" w:themeColor="accent1"/>
          <w:sz w:val="24"/>
          <w:szCs w:val="24"/>
        </w:rPr>
        <w:t>Background Information</w:t>
      </w:r>
      <w:r w:rsidRPr="00915D1F">
        <w:rPr>
          <w:rFonts w:asciiTheme="majorBidi" w:hAnsiTheme="majorBidi" w:cstheme="majorBidi"/>
          <w:color w:val="808080" w:themeColor="background1" w:themeShade="80"/>
          <w:sz w:val="24"/>
          <w:szCs w:val="24"/>
        </w:rPr>
        <w:t>……………………………………………………</w:t>
      </w:r>
      <w:proofErr w:type="gramStart"/>
      <w:r w:rsidRPr="00915D1F">
        <w:rPr>
          <w:rFonts w:asciiTheme="majorBidi" w:hAnsiTheme="majorBidi" w:cstheme="majorBidi"/>
          <w:color w:val="808080" w:themeColor="background1" w:themeShade="80"/>
          <w:sz w:val="24"/>
          <w:szCs w:val="24"/>
        </w:rPr>
        <w:t>…..</w:t>
      </w:r>
      <w:proofErr w:type="gramEnd"/>
    </w:p>
    <w:p w14:paraId="0D1558EE" w14:textId="44F24920" w:rsidR="00B8703B" w:rsidRPr="00915D1F" w:rsidRDefault="00B8703B" w:rsidP="00915D1F">
      <w:pPr>
        <w:spacing w:after="600" w:line="480" w:lineRule="auto"/>
        <w:rPr>
          <w:rFonts w:asciiTheme="majorBidi" w:hAnsiTheme="majorBidi" w:cstheme="majorBidi"/>
          <w:color w:val="4472C4" w:themeColor="accent1"/>
          <w:sz w:val="24"/>
          <w:szCs w:val="24"/>
        </w:rPr>
      </w:pPr>
      <w:r w:rsidRPr="00915D1F">
        <w:rPr>
          <w:rFonts w:asciiTheme="majorBidi" w:hAnsiTheme="majorBidi" w:cstheme="majorBidi"/>
          <w:color w:val="4472C4" w:themeColor="accent1"/>
          <w:sz w:val="24"/>
          <w:szCs w:val="24"/>
        </w:rPr>
        <w:t>Previously Implemented Solutions</w:t>
      </w:r>
      <w:r w:rsidRPr="00915D1F">
        <w:rPr>
          <w:rFonts w:asciiTheme="majorBidi" w:hAnsiTheme="majorBidi" w:cstheme="majorBidi"/>
          <w:color w:val="808080" w:themeColor="background1" w:themeShade="80"/>
          <w:sz w:val="24"/>
          <w:szCs w:val="24"/>
        </w:rPr>
        <w:t>……………………………………………………</w:t>
      </w:r>
      <w:proofErr w:type="gramStart"/>
      <w:r w:rsidRPr="00915D1F">
        <w:rPr>
          <w:rFonts w:asciiTheme="majorBidi" w:hAnsiTheme="majorBidi" w:cstheme="majorBidi"/>
          <w:color w:val="808080" w:themeColor="background1" w:themeShade="80"/>
          <w:sz w:val="24"/>
          <w:szCs w:val="24"/>
        </w:rPr>
        <w:t>…..</w:t>
      </w:r>
      <w:proofErr w:type="gramEnd"/>
      <w:r w:rsidRPr="00915D1F">
        <w:rPr>
          <w:rFonts w:asciiTheme="majorBidi" w:hAnsiTheme="majorBidi" w:cstheme="majorBidi"/>
          <w:color w:val="808080" w:themeColor="background1" w:themeShade="80"/>
          <w:sz w:val="24"/>
          <w:szCs w:val="24"/>
        </w:rPr>
        <w:t xml:space="preserve">  </w:t>
      </w:r>
    </w:p>
    <w:p w14:paraId="097919A5" w14:textId="6128E3A2" w:rsidR="00B746D9" w:rsidRPr="00915D1F" w:rsidRDefault="00B746D9" w:rsidP="00915D1F">
      <w:pPr>
        <w:spacing w:after="600" w:line="480" w:lineRule="auto"/>
        <w:rPr>
          <w:rFonts w:asciiTheme="majorBidi" w:hAnsiTheme="majorBidi" w:cstheme="majorBidi"/>
          <w:color w:val="4472C4" w:themeColor="accent1"/>
          <w:sz w:val="24"/>
          <w:szCs w:val="24"/>
        </w:rPr>
      </w:pPr>
      <w:r w:rsidRPr="00915D1F">
        <w:rPr>
          <w:rFonts w:asciiTheme="majorBidi" w:hAnsiTheme="majorBidi" w:cstheme="majorBidi"/>
          <w:color w:val="4472C4" w:themeColor="accent1"/>
          <w:sz w:val="24"/>
          <w:szCs w:val="24"/>
        </w:rPr>
        <w:t>Key Stakeholders and parties involved</w:t>
      </w:r>
      <w:r w:rsidRPr="00915D1F">
        <w:rPr>
          <w:rFonts w:asciiTheme="majorBidi" w:hAnsiTheme="majorBidi" w:cstheme="majorBidi"/>
          <w:color w:val="808080" w:themeColor="background1" w:themeShade="80"/>
          <w:sz w:val="24"/>
          <w:szCs w:val="24"/>
        </w:rPr>
        <w:t>……………………………………………………</w:t>
      </w:r>
      <w:proofErr w:type="gramStart"/>
      <w:r w:rsidRPr="00915D1F">
        <w:rPr>
          <w:rFonts w:asciiTheme="majorBidi" w:hAnsiTheme="majorBidi" w:cstheme="majorBidi"/>
          <w:color w:val="808080" w:themeColor="background1" w:themeShade="80"/>
          <w:sz w:val="24"/>
          <w:szCs w:val="24"/>
        </w:rPr>
        <w:t>…..</w:t>
      </w:r>
      <w:proofErr w:type="gramEnd"/>
    </w:p>
    <w:p w14:paraId="541484EF" w14:textId="3CB11738" w:rsidR="00B746D9" w:rsidRPr="00915D1F" w:rsidRDefault="00B746D9" w:rsidP="00915D1F">
      <w:pPr>
        <w:spacing w:after="600" w:line="480" w:lineRule="auto"/>
        <w:rPr>
          <w:rFonts w:asciiTheme="majorBidi" w:hAnsiTheme="majorBidi" w:cstheme="majorBidi"/>
          <w:color w:val="4472C4" w:themeColor="accent1"/>
          <w:sz w:val="24"/>
          <w:szCs w:val="24"/>
        </w:rPr>
      </w:pPr>
      <w:r w:rsidRPr="00915D1F">
        <w:rPr>
          <w:rFonts w:asciiTheme="majorBidi" w:hAnsiTheme="majorBidi" w:cstheme="majorBidi"/>
          <w:color w:val="4472C4" w:themeColor="accent1"/>
          <w:sz w:val="24"/>
          <w:szCs w:val="24"/>
        </w:rPr>
        <w:t>Timeline</w:t>
      </w:r>
      <w:r w:rsidRPr="00915D1F">
        <w:rPr>
          <w:rFonts w:asciiTheme="majorBidi" w:hAnsiTheme="majorBidi" w:cstheme="majorBidi"/>
          <w:color w:val="808080" w:themeColor="background1" w:themeShade="80"/>
          <w:sz w:val="24"/>
          <w:szCs w:val="24"/>
        </w:rPr>
        <w:t>……………………………………………………</w:t>
      </w:r>
      <w:proofErr w:type="gramStart"/>
      <w:r w:rsidRPr="00915D1F">
        <w:rPr>
          <w:rFonts w:asciiTheme="majorBidi" w:hAnsiTheme="majorBidi" w:cstheme="majorBidi"/>
          <w:color w:val="808080" w:themeColor="background1" w:themeShade="80"/>
          <w:sz w:val="24"/>
          <w:szCs w:val="24"/>
        </w:rPr>
        <w:t>…..</w:t>
      </w:r>
      <w:proofErr w:type="gramEnd"/>
    </w:p>
    <w:p w14:paraId="235F3BC7" w14:textId="5F9451A7" w:rsidR="00B746D9" w:rsidRPr="00915D1F" w:rsidRDefault="00B746D9" w:rsidP="00915D1F">
      <w:pPr>
        <w:spacing w:after="600" w:line="480" w:lineRule="auto"/>
        <w:rPr>
          <w:rFonts w:asciiTheme="majorBidi" w:hAnsiTheme="majorBidi" w:cstheme="majorBidi"/>
          <w:color w:val="4472C4" w:themeColor="accent1"/>
          <w:sz w:val="24"/>
          <w:szCs w:val="24"/>
        </w:rPr>
      </w:pPr>
      <w:r w:rsidRPr="00915D1F">
        <w:rPr>
          <w:rFonts w:asciiTheme="majorBidi" w:hAnsiTheme="majorBidi" w:cstheme="majorBidi"/>
          <w:color w:val="4472C4" w:themeColor="accent1"/>
          <w:sz w:val="24"/>
          <w:szCs w:val="24"/>
        </w:rPr>
        <w:t>Glossary</w:t>
      </w:r>
      <w:r w:rsidRPr="00915D1F">
        <w:rPr>
          <w:rFonts w:asciiTheme="majorBidi" w:hAnsiTheme="majorBidi" w:cstheme="majorBidi"/>
          <w:color w:val="808080" w:themeColor="background1" w:themeShade="80"/>
          <w:sz w:val="24"/>
          <w:szCs w:val="24"/>
        </w:rPr>
        <w:t>……………………………………………………</w:t>
      </w:r>
      <w:proofErr w:type="gramStart"/>
      <w:r w:rsidRPr="00915D1F">
        <w:rPr>
          <w:rFonts w:asciiTheme="majorBidi" w:hAnsiTheme="majorBidi" w:cstheme="majorBidi"/>
          <w:color w:val="808080" w:themeColor="background1" w:themeShade="80"/>
          <w:sz w:val="24"/>
          <w:szCs w:val="24"/>
        </w:rPr>
        <w:t>…..</w:t>
      </w:r>
      <w:proofErr w:type="gramEnd"/>
    </w:p>
    <w:p w14:paraId="134ECFC9" w14:textId="0D9F815A" w:rsidR="00B746D9" w:rsidRPr="00915D1F" w:rsidRDefault="00B746D9" w:rsidP="00915D1F">
      <w:pPr>
        <w:spacing w:after="600" w:line="480" w:lineRule="auto"/>
        <w:rPr>
          <w:rFonts w:asciiTheme="majorBidi" w:hAnsiTheme="majorBidi" w:cstheme="majorBidi"/>
          <w:color w:val="4472C4" w:themeColor="accent1"/>
          <w:sz w:val="24"/>
          <w:szCs w:val="24"/>
        </w:rPr>
      </w:pPr>
      <w:r w:rsidRPr="00915D1F">
        <w:rPr>
          <w:rFonts w:asciiTheme="majorBidi" w:hAnsiTheme="majorBidi" w:cstheme="majorBidi"/>
          <w:color w:val="4472C4" w:themeColor="accent1"/>
          <w:sz w:val="24"/>
          <w:szCs w:val="24"/>
        </w:rPr>
        <w:t>Guiding Questions</w:t>
      </w:r>
      <w:r w:rsidRPr="00915D1F">
        <w:rPr>
          <w:rFonts w:asciiTheme="majorBidi" w:hAnsiTheme="majorBidi" w:cstheme="majorBidi"/>
          <w:color w:val="808080" w:themeColor="background1" w:themeShade="80"/>
          <w:sz w:val="24"/>
          <w:szCs w:val="24"/>
        </w:rPr>
        <w:t>……………………………………………………</w:t>
      </w:r>
      <w:proofErr w:type="gramStart"/>
      <w:r w:rsidRPr="00915D1F">
        <w:rPr>
          <w:rFonts w:asciiTheme="majorBidi" w:hAnsiTheme="majorBidi" w:cstheme="majorBidi"/>
          <w:color w:val="808080" w:themeColor="background1" w:themeShade="80"/>
          <w:sz w:val="24"/>
          <w:szCs w:val="24"/>
        </w:rPr>
        <w:t>…..</w:t>
      </w:r>
      <w:proofErr w:type="gramEnd"/>
    </w:p>
    <w:p w14:paraId="0B161850" w14:textId="2744B947" w:rsidR="00B746D9" w:rsidRPr="00915D1F" w:rsidRDefault="00B746D9" w:rsidP="00915D1F">
      <w:pPr>
        <w:spacing w:after="600" w:line="480" w:lineRule="auto"/>
        <w:rPr>
          <w:rFonts w:asciiTheme="majorBidi" w:hAnsiTheme="majorBidi" w:cstheme="majorBidi"/>
          <w:color w:val="4472C4" w:themeColor="accent1"/>
          <w:sz w:val="24"/>
          <w:szCs w:val="24"/>
        </w:rPr>
      </w:pPr>
      <w:r w:rsidRPr="00915D1F">
        <w:rPr>
          <w:rFonts w:asciiTheme="majorBidi" w:hAnsiTheme="majorBidi" w:cstheme="majorBidi"/>
          <w:color w:val="4472C4" w:themeColor="accent1"/>
          <w:sz w:val="24"/>
          <w:szCs w:val="24"/>
        </w:rPr>
        <w:t>Sources</w:t>
      </w:r>
      <w:r w:rsidRPr="00915D1F">
        <w:rPr>
          <w:rFonts w:asciiTheme="majorBidi" w:hAnsiTheme="majorBidi" w:cstheme="majorBidi"/>
          <w:color w:val="808080" w:themeColor="background1" w:themeShade="80"/>
          <w:sz w:val="24"/>
          <w:szCs w:val="24"/>
        </w:rPr>
        <w:t>……………………………………………………</w:t>
      </w:r>
      <w:proofErr w:type="gramStart"/>
      <w:r w:rsidRPr="00915D1F">
        <w:rPr>
          <w:rFonts w:asciiTheme="majorBidi" w:hAnsiTheme="majorBidi" w:cstheme="majorBidi"/>
          <w:color w:val="808080" w:themeColor="background1" w:themeShade="80"/>
          <w:sz w:val="24"/>
          <w:szCs w:val="24"/>
        </w:rPr>
        <w:t>…..</w:t>
      </w:r>
      <w:proofErr w:type="gramEnd"/>
    </w:p>
    <w:p w14:paraId="3C56FB19" w14:textId="77777777" w:rsidR="00915D1F" w:rsidRPr="00915D1F" w:rsidRDefault="00915D1F" w:rsidP="00915D1F">
      <w:pPr>
        <w:spacing w:after="600" w:line="480" w:lineRule="auto"/>
        <w:rPr>
          <w:rFonts w:asciiTheme="majorBidi" w:hAnsiTheme="majorBidi" w:cstheme="majorBidi"/>
          <w:color w:val="4472C4" w:themeColor="accent1"/>
          <w:sz w:val="24"/>
          <w:szCs w:val="24"/>
        </w:rPr>
      </w:pPr>
    </w:p>
    <w:p w14:paraId="06D505B6" w14:textId="77777777" w:rsidR="00915D1F" w:rsidRPr="00915D1F" w:rsidRDefault="00915D1F" w:rsidP="00915D1F">
      <w:pPr>
        <w:spacing w:after="600" w:line="480" w:lineRule="auto"/>
        <w:rPr>
          <w:rFonts w:asciiTheme="majorBidi" w:hAnsiTheme="majorBidi" w:cstheme="majorBidi"/>
          <w:color w:val="4472C4" w:themeColor="accent1"/>
          <w:sz w:val="24"/>
          <w:szCs w:val="24"/>
        </w:rPr>
      </w:pPr>
    </w:p>
    <w:p w14:paraId="5BC1FB77" w14:textId="77777777" w:rsidR="00915D1F" w:rsidRPr="00915D1F" w:rsidRDefault="00915D1F" w:rsidP="00915D1F">
      <w:pPr>
        <w:spacing w:after="600" w:line="480" w:lineRule="auto"/>
        <w:rPr>
          <w:rFonts w:asciiTheme="majorBidi" w:hAnsiTheme="majorBidi" w:cstheme="majorBidi"/>
          <w:color w:val="000000" w:themeColor="text1"/>
          <w:sz w:val="24"/>
          <w:szCs w:val="24"/>
        </w:rPr>
      </w:pPr>
      <w:r w:rsidRPr="00915D1F">
        <w:rPr>
          <w:rFonts w:asciiTheme="majorBidi" w:hAnsiTheme="majorBidi" w:cstheme="majorBidi"/>
          <w:color w:val="000000" w:themeColor="text1"/>
          <w:sz w:val="24"/>
          <w:szCs w:val="24"/>
        </w:rPr>
        <w:lastRenderedPageBreak/>
        <w:t xml:space="preserve">Dear Esteemed Delegates, </w:t>
      </w:r>
    </w:p>
    <w:p w14:paraId="3BD8E6D6" w14:textId="77777777" w:rsidR="00915D1F" w:rsidRPr="00915D1F" w:rsidRDefault="00915D1F" w:rsidP="00915D1F">
      <w:pPr>
        <w:spacing w:after="600" w:line="480" w:lineRule="auto"/>
        <w:ind w:firstLine="360"/>
        <w:rPr>
          <w:rFonts w:asciiTheme="majorBidi" w:hAnsiTheme="majorBidi" w:cstheme="majorBidi"/>
          <w:color w:val="000000" w:themeColor="text1"/>
          <w:sz w:val="24"/>
          <w:szCs w:val="24"/>
        </w:rPr>
      </w:pPr>
      <w:r w:rsidRPr="00915D1F">
        <w:rPr>
          <w:rFonts w:asciiTheme="majorBidi" w:hAnsiTheme="majorBidi" w:cstheme="majorBidi"/>
          <w:color w:val="000000" w:themeColor="text1"/>
          <w:sz w:val="24"/>
          <w:szCs w:val="24"/>
        </w:rPr>
        <w:t xml:space="preserve">It is with great pleasure that I welcome you to the security council, I am your president Faisal Al-Ahmad working alongside my deputy president Christina Imseeh as well as the chair Saif </w:t>
      </w:r>
      <w:proofErr w:type="spellStart"/>
      <w:r w:rsidRPr="00915D1F">
        <w:rPr>
          <w:rFonts w:asciiTheme="majorBidi" w:hAnsiTheme="majorBidi" w:cstheme="majorBidi"/>
          <w:color w:val="000000" w:themeColor="text1"/>
          <w:sz w:val="24"/>
          <w:szCs w:val="24"/>
        </w:rPr>
        <w:t>Naimat</w:t>
      </w:r>
      <w:proofErr w:type="spellEnd"/>
      <w:r w:rsidRPr="00915D1F">
        <w:rPr>
          <w:rFonts w:asciiTheme="majorBidi" w:hAnsiTheme="majorBidi" w:cstheme="majorBidi"/>
          <w:color w:val="000000" w:themeColor="text1"/>
          <w:sz w:val="24"/>
          <w:szCs w:val="24"/>
        </w:rPr>
        <w:t xml:space="preserve"> and I look forward to engaging in thoughtful, challenging and impactful debate with all of you. </w:t>
      </w:r>
    </w:p>
    <w:p w14:paraId="0B1C7B15" w14:textId="77777777" w:rsidR="00915D1F" w:rsidRPr="00915D1F" w:rsidRDefault="00915D1F" w:rsidP="00915D1F">
      <w:pPr>
        <w:spacing w:after="600" w:line="480" w:lineRule="auto"/>
        <w:ind w:firstLine="360"/>
        <w:rPr>
          <w:rFonts w:asciiTheme="majorBidi" w:hAnsiTheme="majorBidi" w:cstheme="majorBidi"/>
          <w:color w:val="000000" w:themeColor="text1"/>
          <w:sz w:val="24"/>
          <w:szCs w:val="24"/>
        </w:rPr>
      </w:pPr>
      <w:r w:rsidRPr="00915D1F">
        <w:rPr>
          <w:rFonts w:asciiTheme="majorBidi" w:hAnsiTheme="majorBidi" w:cstheme="majorBidi"/>
          <w:color w:val="000000" w:themeColor="text1"/>
          <w:sz w:val="24"/>
          <w:szCs w:val="24"/>
        </w:rPr>
        <w:t xml:space="preserve">For this NESMUN conference, the chosen theme is “Unmasking Lady Justice” which looks beyond the ideals of fairness, impartiality, and accountability symbolized by justice, and to critically examine how these principles are applied or </w:t>
      </w:r>
      <w:proofErr w:type="gramStart"/>
      <w:r w:rsidRPr="00915D1F">
        <w:rPr>
          <w:rFonts w:asciiTheme="majorBidi" w:hAnsiTheme="majorBidi" w:cstheme="majorBidi"/>
          <w:color w:val="000000" w:themeColor="text1"/>
          <w:sz w:val="24"/>
          <w:szCs w:val="24"/>
        </w:rPr>
        <w:t>neglected, in reality</w:t>
      </w:r>
      <w:proofErr w:type="gramEnd"/>
      <w:r w:rsidRPr="00915D1F">
        <w:rPr>
          <w:rFonts w:asciiTheme="majorBidi" w:hAnsiTheme="majorBidi" w:cstheme="majorBidi"/>
          <w:color w:val="000000" w:themeColor="text1"/>
          <w:sz w:val="24"/>
          <w:szCs w:val="24"/>
        </w:rPr>
        <w:t xml:space="preserve">. Lady Justice is often portrayed as blind and balanced, yet in international affairs, justice is frequently influenced by power, politics, and technological advancement. Through the two topics, the mask will be </w:t>
      </w:r>
      <w:proofErr w:type="gramStart"/>
      <w:r w:rsidRPr="00915D1F">
        <w:rPr>
          <w:rFonts w:asciiTheme="majorBidi" w:hAnsiTheme="majorBidi" w:cstheme="majorBidi"/>
          <w:color w:val="000000" w:themeColor="text1"/>
          <w:sz w:val="24"/>
          <w:szCs w:val="24"/>
        </w:rPr>
        <w:t>removed</w:t>
      </w:r>
      <w:proofErr w:type="gramEnd"/>
      <w:r w:rsidRPr="00915D1F">
        <w:rPr>
          <w:rFonts w:asciiTheme="majorBidi" w:hAnsiTheme="majorBidi" w:cstheme="majorBidi"/>
          <w:color w:val="000000" w:themeColor="text1"/>
          <w:sz w:val="24"/>
          <w:szCs w:val="24"/>
        </w:rPr>
        <w:t xml:space="preserve"> and the uncomfortable truth of society will be faced. </w:t>
      </w:r>
    </w:p>
    <w:p w14:paraId="5EAA9836" w14:textId="77777777" w:rsidR="00915D1F" w:rsidRPr="00915D1F" w:rsidRDefault="00915D1F" w:rsidP="00915D1F">
      <w:pPr>
        <w:spacing w:after="600" w:line="480" w:lineRule="auto"/>
        <w:ind w:firstLine="360"/>
        <w:rPr>
          <w:rFonts w:asciiTheme="majorBidi" w:hAnsiTheme="majorBidi" w:cstheme="majorBidi"/>
          <w:color w:val="000000" w:themeColor="text1"/>
          <w:sz w:val="24"/>
          <w:szCs w:val="24"/>
        </w:rPr>
      </w:pPr>
      <w:proofErr w:type="gramStart"/>
      <w:r w:rsidRPr="00915D1F">
        <w:rPr>
          <w:rFonts w:asciiTheme="majorBidi" w:hAnsiTheme="majorBidi" w:cstheme="majorBidi"/>
          <w:color w:val="000000" w:themeColor="text1"/>
          <w:sz w:val="24"/>
          <w:szCs w:val="24"/>
        </w:rPr>
        <w:t>In regards to</w:t>
      </w:r>
      <w:proofErr w:type="gramEnd"/>
      <w:r w:rsidRPr="00915D1F">
        <w:rPr>
          <w:rFonts w:asciiTheme="majorBidi" w:hAnsiTheme="majorBidi" w:cstheme="majorBidi"/>
          <w:color w:val="000000" w:themeColor="text1"/>
          <w:sz w:val="24"/>
          <w:szCs w:val="24"/>
        </w:rPr>
        <w:t xml:space="preserve"> our first topic, “Addressing the Threat of Autonomous Weapons and Artificial Intelligence in Warfare.” The topic asks you to ponder how quickly technological advancements are changing the reality of conflict. Although artificial intelligence offers optimized systems and a strategic edge on the field, it is essential to pause and reflect on the ethical and judicial implications that it unfolds. Whose accountability is questioned when machines decide on life and death? Will it be possible to dispense justice when it is no longer decided through human judgment?</w:t>
      </w:r>
    </w:p>
    <w:p w14:paraId="519E49AD" w14:textId="77777777" w:rsidR="00915D1F" w:rsidRPr="00915D1F" w:rsidRDefault="00915D1F" w:rsidP="00915D1F">
      <w:pPr>
        <w:spacing w:after="600" w:line="480" w:lineRule="auto"/>
        <w:ind w:firstLine="360"/>
        <w:rPr>
          <w:rFonts w:asciiTheme="majorBidi" w:hAnsiTheme="majorBidi" w:cstheme="majorBidi"/>
          <w:color w:val="000000" w:themeColor="text1"/>
          <w:sz w:val="24"/>
          <w:szCs w:val="24"/>
        </w:rPr>
      </w:pPr>
      <w:r w:rsidRPr="00915D1F">
        <w:rPr>
          <w:rFonts w:asciiTheme="majorBidi" w:hAnsiTheme="majorBidi" w:cstheme="majorBidi"/>
          <w:color w:val="000000" w:themeColor="text1"/>
          <w:sz w:val="24"/>
          <w:szCs w:val="24"/>
        </w:rPr>
        <w:lastRenderedPageBreak/>
        <w:t>As for the second topic “The ICC Indictments of Omar al-Bashir and the Security Council's Political Hesitation to Enforce Them, gives a stark example of justice handicapped by political interests.” Despite clear indictments for international crimes, enforcement has been undermined by geopolitical alliances and veto powers within the Security Council. This directly leads to our theme, showing how justice can be selective and how international institutions struggle when law clashes with politics.</w:t>
      </w:r>
    </w:p>
    <w:p w14:paraId="407D4791" w14:textId="77777777" w:rsidR="00915D1F" w:rsidRPr="00915D1F" w:rsidRDefault="00915D1F" w:rsidP="00915D1F">
      <w:pPr>
        <w:spacing w:after="600" w:line="480" w:lineRule="auto"/>
        <w:ind w:firstLine="360"/>
        <w:rPr>
          <w:rFonts w:asciiTheme="majorBidi" w:hAnsiTheme="majorBidi" w:cstheme="majorBidi"/>
          <w:color w:val="000000" w:themeColor="text1"/>
          <w:sz w:val="24"/>
          <w:szCs w:val="24"/>
        </w:rPr>
      </w:pPr>
      <w:r w:rsidRPr="00915D1F">
        <w:rPr>
          <w:rFonts w:asciiTheme="majorBidi" w:hAnsiTheme="majorBidi" w:cstheme="majorBidi"/>
          <w:color w:val="000000" w:themeColor="text1"/>
          <w:sz w:val="24"/>
          <w:szCs w:val="24"/>
        </w:rPr>
        <w:t xml:space="preserve">As delegates, I encourage you to approach debate with diplomacy, courage, and risk taking. I look forward to witnessing your strong debate, negotiation and leadership. </w:t>
      </w:r>
    </w:p>
    <w:p w14:paraId="212F57B9" w14:textId="77777777" w:rsidR="00915D1F" w:rsidRPr="00915D1F" w:rsidRDefault="00915D1F" w:rsidP="00915D1F">
      <w:pPr>
        <w:spacing w:after="600" w:line="480" w:lineRule="auto"/>
        <w:ind w:firstLine="360"/>
        <w:rPr>
          <w:rFonts w:asciiTheme="majorBidi" w:hAnsiTheme="majorBidi" w:cstheme="majorBidi"/>
          <w:color w:val="000000" w:themeColor="text1"/>
          <w:sz w:val="24"/>
          <w:szCs w:val="24"/>
        </w:rPr>
      </w:pPr>
      <w:r w:rsidRPr="00915D1F">
        <w:rPr>
          <w:rFonts w:asciiTheme="majorBidi" w:hAnsiTheme="majorBidi" w:cstheme="majorBidi"/>
          <w:color w:val="000000" w:themeColor="text1"/>
          <w:sz w:val="24"/>
          <w:szCs w:val="24"/>
        </w:rPr>
        <w:t xml:space="preserve">Best Regards, </w:t>
      </w:r>
    </w:p>
    <w:p w14:paraId="30452A13" w14:textId="77777777" w:rsidR="00915D1F" w:rsidRPr="00915D1F" w:rsidRDefault="00915D1F" w:rsidP="00915D1F">
      <w:pPr>
        <w:spacing w:after="600" w:line="480" w:lineRule="auto"/>
        <w:ind w:firstLine="360"/>
        <w:rPr>
          <w:rFonts w:asciiTheme="majorBidi" w:hAnsiTheme="majorBidi" w:cstheme="majorBidi"/>
          <w:color w:val="000000" w:themeColor="text1"/>
          <w:sz w:val="24"/>
          <w:szCs w:val="24"/>
        </w:rPr>
      </w:pPr>
      <w:r w:rsidRPr="00915D1F">
        <w:rPr>
          <w:rFonts w:asciiTheme="majorBidi" w:hAnsiTheme="majorBidi" w:cstheme="majorBidi"/>
          <w:color w:val="000000" w:themeColor="text1"/>
          <w:sz w:val="24"/>
          <w:szCs w:val="24"/>
        </w:rPr>
        <w:t>Your President,</w:t>
      </w:r>
    </w:p>
    <w:p w14:paraId="7D9D98B2" w14:textId="5FCC23A0" w:rsidR="00915D1F" w:rsidRPr="00915D1F" w:rsidRDefault="00915D1F" w:rsidP="00915D1F">
      <w:pPr>
        <w:spacing w:after="600" w:line="480" w:lineRule="auto"/>
        <w:ind w:firstLine="360"/>
        <w:rPr>
          <w:rFonts w:asciiTheme="majorBidi" w:hAnsiTheme="majorBidi" w:cstheme="majorBidi"/>
          <w:color w:val="000000" w:themeColor="text1"/>
          <w:sz w:val="24"/>
          <w:szCs w:val="24"/>
        </w:rPr>
      </w:pPr>
      <w:r w:rsidRPr="00915D1F">
        <w:rPr>
          <w:rFonts w:asciiTheme="majorBidi" w:hAnsiTheme="majorBidi" w:cstheme="majorBidi"/>
          <w:color w:val="000000" w:themeColor="text1"/>
          <w:sz w:val="24"/>
          <w:szCs w:val="24"/>
        </w:rPr>
        <w:t>Overview:</w:t>
      </w:r>
    </w:p>
    <w:p w14:paraId="7B86DA6E" w14:textId="77777777" w:rsidR="00915D1F" w:rsidRPr="00915D1F" w:rsidRDefault="00915D1F" w:rsidP="00915D1F">
      <w:pPr>
        <w:spacing w:after="600" w:line="480" w:lineRule="auto"/>
        <w:ind w:firstLine="360"/>
        <w:rPr>
          <w:rFonts w:asciiTheme="majorBidi" w:hAnsiTheme="majorBidi" w:cstheme="majorBidi"/>
          <w:color w:val="000000" w:themeColor="text1"/>
          <w:sz w:val="24"/>
          <w:szCs w:val="24"/>
        </w:rPr>
      </w:pPr>
    </w:p>
    <w:p w14:paraId="60DB8F93" w14:textId="77777777" w:rsidR="00915D1F" w:rsidRPr="00915D1F" w:rsidRDefault="00915D1F" w:rsidP="00915D1F">
      <w:pPr>
        <w:pStyle w:val="NormalWeb"/>
        <w:spacing w:line="480" w:lineRule="auto"/>
        <w:rPr>
          <w:rFonts w:asciiTheme="majorBidi" w:hAnsiTheme="majorBidi" w:cstheme="majorBidi"/>
        </w:rPr>
      </w:pPr>
      <w:r w:rsidRPr="00915D1F">
        <w:rPr>
          <w:rFonts w:asciiTheme="majorBidi" w:hAnsiTheme="majorBidi" w:cstheme="majorBidi"/>
        </w:rPr>
        <w:t xml:space="preserve">The issuance of indictments against former Sudanese President Omar al-Bashir by the International Criminal Court (ICC) represents a historic milestone in the pursuit of international criminal justice and serves as a critical test of the United Nations Security Council’s commitment to accountability. Between 2009 and 2010, the ICC charged Al-Bashir with war crimes, crimes against humanity, and genocide committed during the conflict in Darfur. These indictments were </w:t>
      </w:r>
      <w:r w:rsidRPr="00915D1F">
        <w:rPr>
          <w:rFonts w:asciiTheme="majorBidi" w:hAnsiTheme="majorBidi" w:cstheme="majorBidi"/>
        </w:rPr>
        <w:lastRenderedPageBreak/>
        <w:t>unprecedented, marking the first time the Court sought the arrest of a sitting head of state on charges of genocide.</w:t>
      </w:r>
    </w:p>
    <w:p w14:paraId="621FDB35" w14:textId="77777777" w:rsidR="00915D1F" w:rsidRPr="00915D1F" w:rsidRDefault="00915D1F" w:rsidP="00915D1F">
      <w:pPr>
        <w:pStyle w:val="NormalWeb"/>
        <w:spacing w:line="480" w:lineRule="auto"/>
        <w:rPr>
          <w:rFonts w:asciiTheme="majorBidi" w:hAnsiTheme="majorBidi" w:cstheme="majorBidi"/>
        </w:rPr>
      </w:pPr>
      <w:r w:rsidRPr="00915D1F">
        <w:rPr>
          <w:rFonts w:asciiTheme="majorBidi" w:hAnsiTheme="majorBidi" w:cstheme="majorBidi"/>
        </w:rPr>
        <w:t>Despite the gravity of the allegations and the fact that the situation in Darfur was referred to the ICC by the Security Council in 2005 through Resolution 1593, the Court has faced persistent obstacles in securing Al-Bashir’s arrest. For more than a decade after the issuance of the arrest warrants, Al-Bashir traveled to several countries, including States Parties to the ICC, without being detained. This failure to enforce the warrants has highlighted the structural limitations of the international justice system, which relies heavily on state cooperation for its effectiveness.</w:t>
      </w:r>
    </w:p>
    <w:p w14:paraId="7B29742A" w14:textId="77777777" w:rsidR="00915D1F" w:rsidRPr="00915D1F" w:rsidRDefault="00915D1F" w:rsidP="00915D1F">
      <w:pPr>
        <w:pStyle w:val="NormalWeb"/>
        <w:spacing w:line="480" w:lineRule="auto"/>
        <w:rPr>
          <w:rFonts w:asciiTheme="majorBidi" w:hAnsiTheme="majorBidi" w:cstheme="majorBidi"/>
        </w:rPr>
      </w:pPr>
      <w:r w:rsidRPr="00915D1F">
        <w:rPr>
          <w:rFonts w:asciiTheme="majorBidi" w:hAnsiTheme="majorBidi" w:cstheme="majorBidi"/>
        </w:rPr>
        <w:t>The Security Council’s inconsistent political support for enforcing ICC rulings has significantly undermined the credibility of both the Council and the Court. Competing geopolitical interests, concerns over state sovereignty, and the use or threat of veto power by permanent members have contributed to hesitation in taking decisive enforcement action. As a result, perceptions of selective justice and double standards in the application of international law have intensified.</w:t>
      </w:r>
    </w:p>
    <w:p w14:paraId="005A6F64" w14:textId="77777777" w:rsidR="00915D1F" w:rsidRPr="00915D1F" w:rsidRDefault="00915D1F" w:rsidP="00915D1F">
      <w:pPr>
        <w:pStyle w:val="NormalWeb"/>
        <w:spacing w:line="480" w:lineRule="auto"/>
        <w:rPr>
          <w:rFonts w:asciiTheme="majorBidi" w:hAnsiTheme="majorBidi" w:cstheme="majorBidi"/>
        </w:rPr>
      </w:pPr>
      <w:r w:rsidRPr="00915D1F">
        <w:rPr>
          <w:rFonts w:asciiTheme="majorBidi" w:hAnsiTheme="majorBidi" w:cstheme="majorBidi"/>
        </w:rPr>
        <w:t>The case of Omar al-Bashir raises fundamental questions regarding the role of the Security Council in upholding international justice, particularly when accountability appears to conflict with peace negotiations or political stability. It also underscores the broader challenge of ensuring compliance with ICC mandates when powerful political actors are involved. Addressing these issues is essential for the Security Council to uphold the rule of law and maintain its credibility in safeguarding international peace and security.</w:t>
      </w:r>
    </w:p>
    <w:p w14:paraId="70368AD8"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77798610"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b/>
          <w:bCs/>
          <w:color w:val="000000"/>
          <w:sz w:val="24"/>
          <w:szCs w:val="24"/>
          <w:lang w:val="en-JO"/>
          <w14:ligatures w14:val="none"/>
        </w:rPr>
        <w:t>Background </w:t>
      </w:r>
    </w:p>
    <w:p w14:paraId="0C190EEC"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lastRenderedPageBreak/>
        <w:t>The case of Omar al-Bashir emerged from the conflict in Darfur, Sudan, which began in 2003 when rebel groups accused the Sudanese government of political and economic marginalization. In response, the al-Bashir regime launched a counterinsurgency campaign against civilian populations, particularly Fur, Masalit, and Zaghawa communities, that relied heavily on government forces and Janjaweed militias, resulting in widespread atrocities. Reports documented mass killings, systematic sexual violence, forced displacement, and destruction of villages. Later, the UN Security Council referred the situation in Darfur to the International Criminal Court (ICC) through a resolution passing. Following extensive investigations, the ICC issued arrest warrants against Omar al-Bashir for genocide, crimes against humanity, and war crimes. Despite the gravity of these charges, al-Bashir remained in power for years, highlighting the gap between international justice mechanisms and political realities within the UNSC.</w:t>
      </w:r>
    </w:p>
    <w:p w14:paraId="385E37FF"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1196F753"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b/>
          <w:bCs/>
          <w:color w:val="000000"/>
          <w:sz w:val="24"/>
          <w:szCs w:val="24"/>
          <w:lang w:val="en-JO"/>
          <w14:ligatures w14:val="none"/>
        </w:rPr>
        <w:t>Previously implemented solutions</w:t>
      </w:r>
    </w:p>
    <w:p w14:paraId="679ADBC7"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After the UN Security Council referred the Darfur situation to the ICC in 2005, the court issued</w:t>
      </w:r>
      <w:r w:rsidRPr="00915D1F">
        <w:rPr>
          <w:rFonts w:asciiTheme="majorBidi" w:eastAsia="Times New Roman" w:hAnsiTheme="majorBidi" w:cstheme="majorBidi"/>
          <w:b/>
          <w:bCs/>
          <w:color w:val="000000"/>
          <w:sz w:val="24"/>
          <w:szCs w:val="24"/>
          <w:lang w:val="en-JO"/>
          <w14:ligatures w14:val="none"/>
        </w:rPr>
        <w:t xml:space="preserve"> arrest warrants and formally requested state cooperation</w:t>
      </w:r>
      <w:r w:rsidRPr="00915D1F">
        <w:rPr>
          <w:rFonts w:asciiTheme="majorBidi" w:eastAsia="Times New Roman" w:hAnsiTheme="majorBidi" w:cstheme="majorBidi"/>
          <w:color w:val="000000"/>
          <w:sz w:val="24"/>
          <w:szCs w:val="24"/>
          <w:lang w:val="en-JO"/>
          <w14:ligatures w14:val="none"/>
        </w:rPr>
        <w:t xml:space="preserve"> for al-bashirs arrest nd surrender. Several states and regional bodies, including the European Union, imposed </w:t>
      </w:r>
      <w:r w:rsidRPr="00915D1F">
        <w:rPr>
          <w:rFonts w:asciiTheme="majorBidi" w:eastAsia="Times New Roman" w:hAnsiTheme="majorBidi" w:cstheme="majorBidi"/>
          <w:b/>
          <w:bCs/>
          <w:color w:val="000000"/>
          <w:sz w:val="24"/>
          <w:szCs w:val="24"/>
          <w:lang w:val="en-JO"/>
          <w14:ligatures w14:val="none"/>
        </w:rPr>
        <w:t>targeted sanctions, travel restrictions, and arms embargoes</w:t>
      </w:r>
      <w:r w:rsidRPr="00915D1F">
        <w:rPr>
          <w:rFonts w:asciiTheme="majorBidi" w:eastAsia="Times New Roman" w:hAnsiTheme="majorBidi" w:cstheme="majorBidi"/>
          <w:color w:val="000000"/>
          <w:sz w:val="24"/>
          <w:szCs w:val="24"/>
          <w:lang w:val="en-JO"/>
          <w14:ligatures w14:val="none"/>
        </w:rPr>
        <w:t xml:space="preserve"> aimed at pressuring the Sudanese government. Diplomatic efforts were also pursued through </w:t>
      </w:r>
      <w:r w:rsidRPr="00915D1F">
        <w:rPr>
          <w:rFonts w:asciiTheme="majorBidi" w:eastAsia="Times New Roman" w:hAnsiTheme="majorBidi" w:cstheme="majorBidi"/>
          <w:b/>
          <w:bCs/>
          <w:color w:val="000000"/>
          <w:sz w:val="24"/>
          <w:szCs w:val="24"/>
          <w:lang w:val="en-JO"/>
          <w14:ligatures w14:val="none"/>
        </w:rPr>
        <w:t>peace negotiations and mediation initiatives</w:t>
      </w:r>
      <w:r w:rsidRPr="00915D1F">
        <w:rPr>
          <w:rFonts w:asciiTheme="majorBidi" w:eastAsia="Times New Roman" w:hAnsiTheme="majorBidi" w:cstheme="majorBidi"/>
          <w:color w:val="000000"/>
          <w:sz w:val="24"/>
          <w:szCs w:val="24"/>
          <w:lang w:val="en-JO"/>
          <w14:ligatures w14:val="none"/>
        </w:rPr>
        <w:t xml:space="preserve">, such as the Doha Peace Process for Darfur, which sought to reduce violence while indirectly supporting accountability. Additionally, civil society organizations and human rights groups worked to increase </w:t>
      </w:r>
      <w:r w:rsidRPr="00915D1F">
        <w:rPr>
          <w:rFonts w:asciiTheme="majorBidi" w:eastAsia="Times New Roman" w:hAnsiTheme="majorBidi" w:cstheme="majorBidi"/>
          <w:b/>
          <w:bCs/>
          <w:color w:val="000000"/>
          <w:sz w:val="24"/>
          <w:szCs w:val="24"/>
          <w:lang w:val="en-JO"/>
          <w14:ligatures w14:val="none"/>
        </w:rPr>
        <w:t>international awareness</w:t>
      </w:r>
      <w:r w:rsidRPr="00915D1F">
        <w:rPr>
          <w:rFonts w:asciiTheme="majorBidi" w:eastAsia="Times New Roman" w:hAnsiTheme="majorBidi" w:cstheme="majorBidi"/>
          <w:color w:val="000000"/>
          <w:sz w:val="24"/>
          <w:szCs w:val="24"/>
          <w:lang w:val="en-JO"/>
          <w14:ligatures w14:val="none"/>
        </w:rPr>
        <w:t xml:space="preserve"> and advocate for enforcement of the ICC warrants. However, enforcement was undermined by the African Union’s non-cooperation stance, claims of head-of-state immunity, and the UNSC’s failure to take concrete action against states that </w:t>
      </w:r>
      <w:r w:rsidRPr="00915D1F">
        <w:rPr>
          <w:rFonts w:asciiTheme="majorBidi" w:eastAsia="Times New Roman" w:hAnsiTheme="majorBidi" w:cstheme="majorBidi"/>
          <w:color w:val="000000"/>
          <w:sz w:val="24"/>
          <w:szCs w:val="24"/>
          <w:lang w:val="en-JO"/>
          <w14:ligatures w14:val="none"/>
        </w:rPr>
        <w:lastRenderedPageBreak/>
        <w:t>refused to arrest al-Bashir, revealing the limitations of existing solutions in overcoming political hesitation.</w:t>
      </w:r>
    </w:p>
    <w:p w14:paraId="3AEE5D13"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65757E70"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b/>
          <w:bCs/>
          <w:color w:val="000000"/>
          <w:sz w:val="24"/>
          <w:szCs w:val="24"/>
          <w:lang w:val="en-JO"/>
          <w14:ligatures w14:val="none"/>
        </w:rPr>
        <w:t>Key stakeholders and parties involved:  </w:t>
      </w:r>
    </w:p>
    <w:p w14:paraId="6780750A"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b/>
          <w:bCs/>
          <w:i/>
          <w:iCs/>
          <w:color w:val="000000"/>
          <w:sz w:val="24"/>
          <w:szCs w:val="24"/>
          <w:lang w:val="en-JO"/>
          <w14:ligatures w14:val="none"/>
        </w:rPr>
        <w:t>Key stakeholders</w:t>
      </w:r>
    </w:p>
    <w:p w14:paraId="4616DF1E"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b/>
          <w:bCs/>
          <w:color w:val="000000"/>
          <w:sz w:val="24"/>
          <w:szCs w:val="24"/>
          <w:lang w:val="en-JO"/>
          <w14:ligatures w14:val="none"/>
        </w:rPr>
        <w:t>International Criminal Court (ICC):</w:t>
      </w:r>
    </w:p>
    <w:p w14:paraId="767A5D9C"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The ICC is the judicial body that investigated crimes committed in Darfur and issued arrest warrants against Omar al-Bashir for genocide, crimes against humanity, and war crimes. While legally responsible for prosecuting these crimes, the Court lacks enforcement power and relies entirely on state cooperation and the UN Security Council to carry out arrests.</w:t>
      </w:r>
    </w:p>
    <w:p w14:paraId="4F661019"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1984749D"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United Nations Security Council (UNSC):</w:t>
      </w:r>
    </w:p>
    <w:p w14:paraId="097A633C"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The Security Council referred the Darfur situation to the ICC under Resolution 1593 (2005) and holds the authority to enforce cooperation through sanctions or other Chapter VII measures. However, political divisions, particularly among P5 members, have led to reluctance in enforcing compliance, undermining both the ICC’s credibility and international accountability.</w:t>
      </w:r>
    </w:p>
    <w:p w14:paraId="373DB11D"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54C087D7"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Government of Sudan (under Omar al-Bashir):</w:t>
      </w:r>
    </w:p>
    <w:p w14:paraId="792828EE"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The Sudanese government, led by al-Bashir at the time, was accused of orchestrating widespread atrocities in Darfur through state forces and allied militias. Sudan rejected the ICC’s jurisdiction and refused to cooperate with arrest warrants, framing the indictments as politically motivated and an infringement on state sovereignty.</w:t>
      </w:r>
    </w:p>
    <w:p w14:paraId="14B72CE6"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52421F63"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b/>
          <w:bCs/>
          <w:i/>
          <w:iCs/>
          <w:color w:val="000000"/>
          <w:sz w:val="24"/>
          <w:szCs w:val="24"/>
          <w:lang w:val="en-JO"/>
          <w14:ligatures w14:val="none"/>
        </w:rPr>
        <w:lastRenderedPageBreak/>
        <w:t>Other relevant parties</w:t>
      </w:r>
    </w:p>
    <w:p w14:paraId="4DBAFCC5"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Permanent Members of the Security Council (P5):</w:t>
      </w:r>
    </w:p>
    <w:p w14:paraId="197FE94F"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The P5, especially China, Russia, and the United States, played a decisive role in shaping the Council’s response. China and Russia prioritized sovereignty and regional stability, resisting stronger enforcement measures, while the United States supported accountability despite not being an ICC State Party. These conflicting interests contributed to inaction within the Council.</w:t>
      </w:r>
    </w:p>
    <w:p w14:paraId="5B264A13"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66F49497"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African Union (AU):</w:t>
      </w:r>
    </w:p>
    <w:p w14:paraId="4FF54EF4"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The African Union expressed concerns that enforcing the arrest of a sitting head of state could destabilize Sudan and the wider region. It adopted a non-cooperation stance toward the ICC warrants, arguing for immunity of heads of state and advocating for “African solutions to African problems.”</w:t>
      </w:r>
    </w:p>
    <w:p w14:paraId="10E2C846"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6729F2E7"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ICC States Parties:</w:t>
      </w:r>
    </w:p>
    <w:p w14:paraId="4F588114"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States that are party to the Rome Statute are legally obligated to arrest and surrender ICC indictees. However, several member states, such as South Africa, Djibouti, Uganda, and Jordan, failed to arrest al-Bashir during his visits, citing diplomatic immunity or regional obligations, highlighting the gap between legal commitments and political practice.</w:t>
      </w:r>
    </w:p>
    <w:p w14:paraId="115CAB18"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2B1C6E7E"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Civilian Population of Darfur:</w:t>
      </w:r>
    </w:p>
    <w:p w14:paraId="7CC7A924"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Civilians in Darfur are the primary victims of the conflict and the atrocities that led to the ICC indictments. Their continued displacement and lack of justice underscore the human cost of the Security Council’s failure to ensure accountability.</w:t>
      </w:r>
    </w:p>
    <w:p w14:paraId="12B0D453"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24CE2C93"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b/>
          <w:bCs/>
          <w:color w:val="000000"/>
          <w:sz w:val="24"/>
          <w:szCs w:val="24"/>
          <w:lang w:val="en-JO"/>
          <w14:ligatures w14:val="none"/>
        </w:rPr>
        <w:t>Timeline</w:t>
      </w:r>
    </w:p>
    <w:p w14:paraId="1490D4A1"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2003 – Conflict in Darfur, Sudan begins. Rebel groups accuse the Sudanese government of marginalization, and al-Bashir’s regime launches a counterinsurgency, including attacks on civilians and militias like the Janjaweed.</w:t>
      </w:r>
    </w:p>
    <w:p w14:paraId="1339D412"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2C897721"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2004 – UN Security Council Resolution 1556 imposes an arms embargo on Darfur and calls for an end to human rights violations.</w:t>
      </w:r>
    </w:p>
    <w:p w14:paraId="30ABF67F"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501C20E1"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2005 – UNSC Resolution 1593 refers the situation in Darfur to the ICC, granting the Court jurisdiction over crimes committed there, even though Sudan is not an ICC member state.</w:t>
      </w:r>
    </w:p>
    <w:p w14:paraId="62264129"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709EB189"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2009 (March) – ICC issues first arrest warrant for Omar al-Bashir for war crimes and crimes against humanity.</w:t>
      </w:r>
    </w:p>
    <w:p w14:paraId="130DC757"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12A4FDBF"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2010 (July) – ICC issues a second arrest warrant adding charges of genocide in Darfur.</w:t>
      </w:r>
    </w:p>
    <w:p w14:paraId="5EA73125"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4F155173"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2015 (June) – Al-Bashir visits South Africa for an African Union summit; South Africa, an ICC State Party, does not arrest him, violating its legal obligations.</w:t>
      </w:r>
    </w:p>
    <w:p w14:paraId="7FE29006"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31BC41EC"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2016 (May) – Al-Bashir visits Uganda and Djibouti; both ICC States Parties fail to arrest him, leading the ICC Pre-Trial Chamber to declare non-compliance.</w:t>
      </w:r>
    </w:p>
    <w:p w14:paraId="1E39CB6F"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2A3E2CDB"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lastRenderedPageBreak/>
        <w:t>2017 (March) – Al-Bashir visits Jordan; Jordan, another ICC State Party, fails to arrest him, confirmed by the ICC Appeals Chamber.</w:t>
      </w:r>
    </w:p>
    <w:p w14:paraId="2E4B84A2"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222C01BC"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2019 (April) – Al-Bashir is overthrown in a military coup after months of mass protests in Sudan; he is placed under house arrest in Sudan.</w:t>
      </w:r>
    </w:p>
    <w:p w14:paraId="0D4B5CB2"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1F2FD283"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2020–2021 – Sudan’s transitional government agrees to cooperate with the ICC, including possible surrender of al-Bashir, signaling a shift toward accountability.</w:t>
      </w:r>
    </w:p>
    <w:p w14:paraId="08ABA7C3"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3C4F91D9"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r w:rsidRPr="00915D1F">
        <w:rPr>
          <w:rFonts w:asciiTheme="majorBidi" w:eastAsia="Times New Roman" w:hAnsiTheme="majorBidi" w:cstheme="majorBidi"/>
          <w:color w:val="000000"/>
          <w:sz w:val="24"/>
          <w:szCs w:val="24"/>
          <w:lang w:val="en-JO"/>
          <w14:ligatures w14:val="none"/>
        </w:rPr>
        <w:t>2022–2023 – ICC continues to pursue investigations, but enforcement remains politically sensitive and incomplete.</w:t>
      </w:r>
    </w:p>
    <w:p w14:paraId="539AF98A" w14:textId="77777777" w:rsidR="00915D1F" w:rsidRPr="00915D1F" w:rsidRDefault="00915D1F" w:rsidP="00915D1F">
      <w:pPr>
        <w:spacing w:line="480" w:lineRule="auto"/>
        <w:rPr>
          <w:rFonts w:asciiTheme="majorBidi" w:eastAsia="Times New Roman" w:hAnsiTheme="majorBidi" w:cstheme="majorBidi"/>
          <w:sz w:val="24"/>
          <w:szCs w:val="24"/>
          <w:lang w:val="en-JO"/>
          <w14:ligatures w14:val="none"/>
        </w:rPr>
      </w:pPr>
    </w:p>
    <w:p w14:paraId="57D30F9A" w14:textId="77777777" w:rsidR="001A4829" w:rsidRPr="00915D1F" w:rsidRDefault="001A4829" w:rsidP="00915D1F">
      <w:pPr>
        <w:spacing w:after="600" w:line="480" w:lineRule="auto"/>
        <w:rPr>
          <w:rFonts w:asciiTheme="majorBidi" w:hAnsiTheme="majorBidi" w:cstheme="majorBidi"/>
          <w:color w:val="4472C4" w:themeColor="accent1"/>
          <w:sz w:val="24"/>
          <w:szCs w:val="24"/>
          <w:lang w:val="en-JO"/>
        </w:rPr>
      </w:pPr>
    </w:p>
    <w:sectPr w:rsidR="001A4829" w:rsidRPr="00915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37DF"/>
    <w:multiLevelType w:val="hybridMultilevel"/>
    <w:tmpl w:val="40600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254BF"/>
    <w:multiLevelType w:val="hybridMultilevel"/>
    <w:tmpl w:val="C5F4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601329">
    <w:abstractNumId w:val="0"/>
  </w:num>
  <w:num w:numId="2" w16cid:durableId="1534612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3B"/>
    <w:rsid w:val="00062B16"/>
    <w:rsid w:val="001A4829"/>
    <w:rsid w:val="00246796"/>
    <w:rsid w:val="004C197A"/>
    <w:rsid w:val="004E0C2C"/>
    <w:rsid w:val="00821FC9"/>
    <w:rsid w:val="00845E2D"/>
    <w:rsid w:val="008902A9"/>
    <w:rsid w:val="00915D1F"/>
    <w:rsid w:val="00923011"/>
    <w:rsid w:val="009A069C"/>
    <w:rsid w:val="009A1DFE"/>
    <w:rsid w:val="00A409FD"/>
    <w:rsid w:val="00B43FA8"/>
    <w:rsid w:val="00B746D9"/>
    <w:rsid w:val="00B8703B"/>
    <w:rsid w:val="00BB562C"/>
    <w:rsid w:val="00D61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C063"/>
  <w15:chartTrackingRefBased/>
  <w15:docId w15:val="{69B465E8-39F4-4622-A202-0749379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3B"/>
    <w:pPr>
      <w:spacing w:after="0" w:line="276" w:lineRule="auto"/>
    </w:pPr>
    <w:rPr>
      <w:rFonts w:ascii="Arial" w:eastAsia="Arial" w:hAnsi="Arial" w:cs="Arial"/>
      <w:kern w:val="0"/>
      <w:sz w:val="22"/>
      <w:szCs w:val="22"/>
      <w:lang w:val="en"/>
    </w:rPr>
  </w:style>
  <w:style w:type="paragraph" w:styleId="Heading1">
    <w:name w:val="heading 1"/>
    <w:basedOn w:val="Normal"/>
    <w:next w:val="Normal"/>
    <w:link w:val="Heading1Char"/>
    <w:uiPriority w:val="9"/>
    <w:qFormat/>
    <w:rsid w:val="00B870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0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0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0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0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0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0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0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0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0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0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0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0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03B"/>
    <w:rPr>
      <w:rFonts w:eastAsiaTheme="majorEastAsia" w:cstheme="majorBidi"/>
      <w:color w:val="272727" w:themeColor="text1" w:themeTint="D8"/>
    </w:rPr>
  </w:style>
  <w:style w:type="paragraph" w:styleId="Title">
    <w:name w:val="Title"/>
    <w:basedOn w:val="Normal"/>
    <w:next w:val="Normal"/>
    <w:link w:val="TitleChar"/>
    <w:uiPriority w:val="10"/>
    <w:qFormat/>
    <w:rsid w:val="00B8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03B"/>
    <w:pPr>
      <w:spacing w:before="160"/>
      <w:jc w:val="center"/>
    </w:pPr>
    <w:rPr>
      <w:i/>
      <w:iCs/>
      <w:color w:val="404040" w:themeColor="text1" w:themeTint="BF"/>
    </w:rPr>
  </w:style>
  <w:style w:type="character" w:customStyle="1" w:styleId="QuoteChar">
    <w:name w:val="Quote Char"/>
    <w:basedOn w:val="DefaultParagraphFont"/>
    <w:link w:val="Quote"/>
    <w:uiPriority w:val="29"/>
    <w:rsid w:val="00B8703B"/>
    <w:rPr>
      <w:i/>
      <w:iCs/>
      <w:color w:val="404040" w:themeColor="text1" w:themeTint="BF"/>
    </w:rPr>
  </w:style>
  <w:style w:type="paragraph" w:styleId="ListParagraph">
    <w:name w:val="List Paragraph"/>
    <w:basedOn w:val="Normal"/>
    <w:uiPriority w:val="34"/>
    <w:qFormat/>
    <w:rsid w:val="00B8703B"/>
    <w:pPr>
      <w:ind w:left="720"/>
      <w:contextualSpacing/>
    </w:pPr>
  </w:style>
  <w:style w:type="character" w:styleId="IntenseEmphasis">
    <w:name w:val="Intense Emphasis"/>
    <w:basedOn w:val="DefaultParagraphFont"/>
    <w:uiPriority w:val="21"/>
    <w:qFormat/>
    <w:rsid w:val="00B8703B"/>
    <w:rPr>
      <w:i/>
      <w:iCs/>
      <w:color w:val="2F5496" w:themeColor="accent1" w:themeShade="BF"/>
    </w:rPr>
  </w:style>
  <w:style w:type="paragraph" w:styleId="IntenseQuote">
    <w:name w:val="Intense Quote"/>
    <w:basedOn w:val="Normal"/>
    <w:next w:val="Normal"/>
    <w:link w:val="IntenseQuoteChar"/>
    <w:uiPriority w:val="30"/>
    <w:qFormat/>
    <w:rsid w:val="00B87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03B"/>
    <w:rPr>
      <w:i/>
      <w:iCs/>
      <w:color w:val="2F5496" w:themeColor="accent1" w:themeShade="BF"/>
    </w:rPr>
  </w:style>
  <w:style w:type="character" w:styleId="IntenseReference">
    <w:name w:val="Intense Reference"/>
    <w:basedOn w:val="DefaultParagraphFont"/>
    <w:uiPriority w:val="32"/>
    <w:qFormat/>
    <w:rsid w:val="00B8703B"/>
    <w:rPr>
      <w:b/>
      <w:bCs/>
      <w:smallCaps/>
      <w:color w:val="2F5496" w:themeColor="accent1" w:themeShade="BF"/>
      <w:spacing w:val="5"/>
    </w:rPr>
  </w:style>
  <w:style w:type="paragraph" w:customStyle="1" w:styleId="TB-Subheading">
    <w:name w:val="TB-Subheading"/>
    <w:basedOn w:val="Normal"/>
    <w:qFormat/>
    <w:rsid w:val="00B746D9"/>
    <w:pPr>
      <w:spacing w:after="240" w:line="240" w:lineRule="auto"/>
    </w:pPr>
    <w:rPr>
      <w:rFonts w:asciiTheme="majorBidi" w:hAnsiTheme="majorBidi" w:cstheme="majorBidi"/>
      <w:b/>
      <w:bCs/>
      <w:i/>
      <w:iCs/>
      <w:color w:val="002060"/>
      <w:sz w:val="48"/>
      <w:szCs w:val="40"/>
      <w:u w:val="single" w:color="002060"/>
    </w:rPr>
  </w:style>
  <w:style w:type="paragraph" w:styleId="NormalWeb">
    <w:name w:val="Normal (Web)"/>
    <w:basedOn w:val="Normal"/>
    <w:uiPriority w:val="99"/>
    <w:semiHidden/>
    <w:unhideWhenUsed/>
    <w:rsid w:val="00915D1F"/>
    <w:pPr>
      <w:spacing w:before="100" w:beforeAutospacing="1" w:after="100" w:afterAutospacing="1" w:line="240" w:lineRule="auto"/>
    </w:pPr>
    <w:rPr>
      <w:rFonts w:ascii="Times New Roman" w:eastAsia="Times New Roman" w:hAnsi="Times New Roman" w:cs="Times New Roman"/>
      <w:sz w:val="24"/>
      <w:szCs w:val="24"/>
      <w:lang w:val="en-J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 AlOdeh</dc:creator>
  <cp:keywords/>
  <dc:description/>
  <cp:lastModifiedBy>Faisal Al-Ahmad</cp:lastModifiedBy>
  <cp:revision>2</cp:revision>
  <dcterms:created xsi:type="dcterms:W3CDTF">2026-01-09T12:08:00Z</dcterms:created>
  <dcterms:modified xsi:type="dcterms:W3CDTF">2026-01-09T12:08:00Z</dcterms:modified>
</cp:coreProperties>
</file>